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174" w:rsidRPr="00A62174" w:rsidRDefault="00A62174" w:rsidP="00A62174">
      <w:pPr>
        <w:spacing w:after="0"/>
        <w:jc w:val="both"/>
        <w:rPr>
          <w:rFonts w:ascii="Times New Roman" w:hAnsi="Times New Roman" w:cs="Times New Roman"/>
          <w:sz w:val="24"/>
          <w:szCs w:val="24"/>
        </w:rPr>
      </w:pPr>
      <w:r w:rsidRPr="00A62174">
        <w:rPr>
          <w:rFonts w:ascii="Times New Roman" w:hAnsi="Times New Roman" w:cs="Times New Roman"/>
          <w:sz w:val="24"/>
          <w:szCs w:val="24"/>
        </w:rPr>
        <w:t>IN THE CIRCUIT COURT, SEVENTH</w:t>
      </w:r>
    </w:p>
    <w:p w:rsidR="00A62174" w:rsidRPr="00A62174" w:rsidRDefault="00A62174" w:rsidP="00A62174">
      <w:pPr>
        <w:spacing w:after="0"/>
        <w:jc w:val="both"/>
        <w:rPr>
          <w:rFonts w:ascii="Times New Roman" w:hAnsi="Times New Roman" w:cs="Times New Roman"/>
          <w:sz w:val="24"/>
          <w:szCs w:val="24"/>
        </w:rPr>
      </w:pPr>
      <w:r w:rsidRPr="00A62174">
        <w:rPr>
          <w:rFonts w:ascii="Times New Roman" w:hAnsi="Times New Roman" w:cs="Times New Roman"/>
          <w:sz w:val="24"/>
          <w:szCs w:val="24"/>
        </w:rPr>
        <w:t xml:space="preserve">                                    </w:t>
      </w:r>
      <w:r w:rsidRPr="00A62174">
        <w:rPr>
          <w:rFonts w:ascii="Times New Roman" w:hAnsi="Times New Roman" w:cs="Times New Roman"/>
          <w:sz w:val="24"/>
          <w:szCs w:val="24"/>
        </w:rPr>
        <w:tab/>
      </w:r>
      <w:r w:rsidRPr="00A62174">
        <w:rPr>
          <w:rFonts w:ascii="Times New Roman" w:hAnsi="Times New Roman" w:cs="Times New Roman"/>
          <w:sz w:val="24"/>
          <w:szCs w:val="24"/>
        </w:rPr>
        <w:tab/>
      </w:r>
      <w:r w:rsidRPr="00A62174">
        <w:rPr>
          <w:rFonts w:ascii="Times New Roman" w:hAnsi="Times New Roman" w:cs="Times New Roman"/>
          <w:sz w:val="24"/>
          <w:szCs w:val="24"/>
        </w:rPr>
        <w:tab/>
        <w:t xml:space="preserve">JUDICIAL CIRCUIT, IN </w:t>
      </w:r>
      <w:smartTag w:uri="urn:schemas-microsoft-com:office:smarttags" w:element="stockticker">
        <w:r w:rsidRPr="00A62174">
          <w:rPr>
            <w:rFonts w:ascii="Times New Roman" w:hAnsi="Times New Roman" w:cs="Times New Roman"/>
            <w:sz w:val="24"/>
            <w:szCs w:val="24"/>
          </w:rPr>
          <w:t>AND</w:t>
        </w:r>
      </w:smartTag>
      <w:r w:rsidRPr="00A62174">
        <w:rPr>
          <w:rFonts w:ascii="Times New Roman" w:hAnsi="Times New Roman" w:cs="Times New Roman"/>
          <w:sz w:val="24"/>
          <w:szCs w:val="24"/>
        </w:rPr>
        <w:t xml:space="preserve"> FOR</w:t>
      </w:r>
    </w:p>
    <w:p w:rsidR="00A62174" w:rsidRPr="00A62174" w:rsidRDefault="00A62174" w:rsidP="00A62174">
      <w:pPr>
        <w:spacing w:after="0"/>
        <w:jc w:val="both"/>
        <w:rPr>
          <w:rFonts w:ascii="Times New Roman" w:hAnsi="Times New Roman" w:cs="Times New Roman"/>
          <w:sz w:val="24"/>
          <w:szCs w:val="24"/>
        </w:rPr>
      </w:pPr>
      <w:r w:rsidRPr="00A62174">
        <w:rPr>
          <w:rFonts w:ascii="Times New Roman" w:hAnsi="Times New Roman" w:cs="Times New Roman"/>
          <w:sz w:val="24"/>
          <w:szCs w:val="24"/>
        </w:rPr>
        <w:t xml:space="preserve">                                    </w:t>
      </w:r>
      <w:r w:rsidRPr="00A62174">
        <w:rPr>
          <w:rFonts w:ascii="Times New Roman" w:hAnsi="Times New Roman" w:cs="Times New Roman"/>
          <w:sz w:val="24"/>
          <w:szCs w:val="24"/>
        </w:rPr>
        <w:tab/>
      </w:r>
      <w:r w:rsidRPr="00A62174">
        <w:rPr>
          <w:rFonts w:ascii="Times New Roman" w:hAnsi="Times New Roman" w:cs="Times New Roman"/>
          <w:sz w:val="24"/>
          <w:szCs w:val="24"/>
        </w:rPr>
        <w:tab/>
      </w:r>
      <w:r w:rsidRPr="00A62174">
        <w:rPr>
          <w:rFonts w:ascii="Times New Roman" w:hAnsi="Times New Roman" w:cs="Times New Roman"/>
          <w:sz w:val="24"/>
          <w:szCs w:val="24"/>
        </w:rPr>
        <w:tab/>
        <w:t>VOLUSIA COUNTY, FLORIDA</w:t>
      </w:r>
    </w:p>
    <w:p w:rsidR="00A62174" w:rsidRPr="00A62174" w:rsidRDefault="00A62174" w:rsidP="00A62174">
      <w:pPr>
        <w:tabs>
          <w:tab w:val="left" w:pos="-1440"/>
        </w:tabs>
        <w:spacing w:after="0"/>
        <w:ind w:hanging="6480"/>
        <w:jc w:val="both"/>
        <w:rPr>
          <w:rFonts w:ascii="Times New Roman" w:hAnsi="Times New Roman" w:cs="Times New Roman"/>
          <w:sz w:val="24"/>
          <w:szCs w:val="24"/>
        </w:rPr>
      </w:pPr>
    </w:p>
    <w:p w:rsidR="00A62174" w:rsidRPr="00A62174" w:rsidRDefault="00A62174" w:rsidP="00A62174">
      <w:pPr>
        <w:tabs>
          <w:tab w:val="left" w:pos="-1440"/>
        </w:tabs>
        <w:spacing w:after="0"/>
        <w:jc w:val="both"/>
        <w:rPr>
          <w:rFonts w:ascii="Times New Roman" w:hAnsi="Times New Roman" w:cs="Times New Roman"/>
          <w:sz w:val="24"/>
          <w:szCs w:val="24"/>
        </w:rPr>
      </w:pPr>
      <w:r w:rsidRPr="00A62174">
        <w:rPr>
          <w:rFonts w:ascii="Times New Roman" w:hAnsi="Times New Roman" w:cs="Times New Roman"/>
          <w:sz w:val="24"/>
          <w:szCs w:val="24"/>
        </w:rPr>
        <w:t xml:space="preserve">STATE OF FLORIDA                    </w:t>
      </w:r>
      <w:r w:rsidRPr="00A62174">
        <w:rPr>
          <w:rFonts w:ascii="Times New Roman" w:hAnsi="Times New Roman" w:cs="Times New Roman"/>
          <w:sz w:val="24"/>
          <w:szCs w:val="24"/>
        </w:rPr>
        <w:tab/>
      </w:r>
      <w:r w:rsidRPr="00A62174">
        <w:rPr>
          <w:rFonts w:ascii="Times New Roman" w:hAnsi="Times New Roman" w:cs="Times New Roman"/>
          <w:sz w:val="24"/>
          <w:szCs w:val="24"/>
        </w:rPr>
        <w:tab/>
        <w:t>CASE NO.:</w:t>
      </w:r>
      <w:r w:rsidRPr="00A62174">
        <w:rPr>
          <w:rFonts w:ascii="Times New Roman" w:hAnsi="Times New Roman" w:cs="Times New Roman"/>
          <w:sz w:val="24"/>
          <w:szCs w:val="24"/>
        </w:rPr>
        <w:tab/>
        <w:t>15-101845CFDL</w:t>
      </w:r>
    </w:p>
    <w:p w:rsidR="00A62174" w:rsidRPr="00A62174" w:rsidRDefault="00A62174" w:rsidP="00A62174">
      <w:pPr>
        <w:tabs>
          <w:tab w:val="left" w:pos="-1440"/>
        </w:tabs>
        <w:spacing w:after="0"/>
        <w:jc w:val="both"/>
        <w:rPr>
          <w:rFonts w:ascii="Times New Roman" w:hAnsi="Times New Roman" w:cs="Times New Roman"/>
          <w:sz w:val="24"/>
          <w:szCs w:val="24"/>
        </w:rPr>
      </w:pPr>
      <w:r w:rsidRPr="00A62174">
        <w:rPr>
          <w:rFonts w:ascii="Times New Roman" w:hAnsi="Times New Roman" w:cs="Times New Roman"/>
          <w:sz w:val="24"/>
          <w:szCs w:val="24"/>
        </w:rPr>
        <w:t xml:space="preserve">                                  </w:t>
      </w:r>
      <w:r w:rsidRPr="00A62174">
        <w:rPr>
          <w:rFonts w:ascii="Times New Roman" w:hAnsi="Times New Roman" w:cs="Times New Roman"/>
          <w:sz w:val="24"/>
          <w:szCs w:val="24"/>
        </w:rPr>
        <w:tab/>
      </w:r>
      <w:r w:rsidRPr="00A62174">
        <w:rPr>
          <w:rFonts w:ascii="Times New Roman" w:hAnsi="Times New Roman" w:cs="Times New Roman"/>
          <w:sz w:val="24"/>
          <w:szCs w:val="24"/>
        </w:rPr>
        <w:tab/>
      </w:r>
      <w:r w:rsidRPr="00A62174">
        <w:rPr>
          <w:rFonts w:ascii="Times New Roman" w:hAnsi="Times New Roman" w:cs="Times New Roman"/>
          <w:sz w:val="24"/>
          <w:szCs w:val="24"/>
        </w:rPr>
        <w:tab/>
      </w:r>
      <w:r w:rsidRPr="00A62174">
        <w:rPr>
          <w:rFonts w:ascii="Times New Roman" w:hAnsi="Times New Roman" w:cs="Times New Roman"/>
          <w:sz w:val="24"/>
          <w:szCs w:val="24"/>
        </w:rPr>
        <w:tab/>
      </w:r>
      <w:r w:rsidRPr="00A62174">
        <w:rPr>
          <w:rFonts w:ascii="Times New Roman" w:hAnsi="Times New Roman" w:cs="Times New Roman"/>
          <w:sz w:val="24"/>
          <w:szCs w:val="24"/>
        </w:rPr>
        <w:tab/>
      </w:r>
      <w:r w:rsidRPr="00A62174">
        <w:rPr>
          <w:rFonts w:ascii="Times New Roman" w:hAnsi="Times New Roman" w:cs="Times New Roman"/>
          <w:sz w:val="24"/>
          <w:szCs w:val="24"/>
        </w:rPr>
        <w:tab/>
      </w:r>
      <w:r w:rsidRPr="00A62174">
        <w:rPr>
          <w:rFonts w:ascii="Times New Roman" w:hAnsi="Times New Roman" w:cs="Times New Roman"/>
          <w:sz w:val="24"/>
          <w:szCs w:val="24"/>
        </w:rPr>
        <w:tab/>
      </w:r>
    </w:p>
    <w:p w:rsidR="00A62174" w:rsidRPr="00A62174" w:rsidRDefault="00A62174" w:rsidP="00A62174">
      <w:pPr>
        <w:spacing w:after="0"/>
        <w:jc w:val="both"/>
        <w:rPr>
          <w:rFonts w:ascii="Times New Roman" w:hAnsi="Times New Roman" w:cs="Times New Roman"/>
          <w:sz w:val="24"/>
          <w:szCs w:val="24"/>
        </w:rPr>
      </w:pPr>
      <w:r w:rsidRPr="00A62174">
        <w:rPr>
          <w:rFonts w:ascii="Times New Roman" w:hAnsi="Times New Roman" w:cs="Times New Roman"/>
          <w:sz w:val="24"/>
          <w:szCs w:val="24"/>
        </w:rPr>
        <w:t xml:space="preserve">VS.                                 </w:t>
      </w:r>
      <w:r w:rsidRPr="00A62174">
        <w:rPr>
          <w:rFonts w:ascii="Times New Roman" w:hAnsi="Times New Roman" w:cs="Times New Roman"/>
          <w:sz w:val="24"/>
          <w:szCs w:val="24"/>
        </w:rPr>
        <w:tab/>
      </w:r>
      <w:r w:rsidRPr="00A62174">
        <w:rPr>
          <w:rFonts w:ascii="Times New Roman" w:hAnsi="Times New Roman" w:cs="Times New Roman"/>
          <w:sz w:val="24"/>
          <w:szCs w:val="24"/>
        </w:rPr>
        <w:tab/>
      </w:r>
      <w:r w:rsidRPr="00A62174">
        <w:rPr>
          <w:rFonts w:ascii="Times New Roman" w:hAnsi="Times New Roman" w:cs="Times New Roman"/>
          <w:sz w:val="24"/>
          <w:szCs w:val="24"/>
        </w:rPr>
        <w:tab/>
      </w:r>
    </w:p>
    <w:p w:rsidR="00A62174" w:rsidRPr="00A62174" w:rsidRDefault="00A62174" w:rsidP="00A62174">
      <w:pPr>
        <w:spacing w:after="0"/>
        <w:jc w:val="both"/>
        <w:rPr>
          <w:rFonts w:ascii="Times New Roman" w:hAnsi="Times New Roman" w:cs="Times New Roman"/>
          <w:sz w:val="24"/>
          <w:szCs w:val="24"/>
        </w:rPr>
      </w:pPr>
      <w:r w:rsidRPr="00A62174">
        <w:rPr>
          <w:rFonts w:ascii="Times New Roman" w:hAnsi="Times New Roman" w:cs="Times New Roman"/>
          <w:sz w:val="24"/>
          <w:szCs w:val="24"/>
        </w:rPr>
        <w:t xml:space="preserve">                               </w:t>
      </w:r>
    </w:p>
    <w:p w:rsidR="00A62174" w:rsidRPr="00A62174" w:rsidRDefault="00A62174" w:rsidP="00A62174">
      <w:pPr>
        <w:spacing w:after="0"/>
        <w:jc w:val="both"/>
        <w:rPr>
          <w:rFonts w:ascii="Times New Roman" w:hAnsi="Times New Roman" w:cs="Times New Roman"/>
          <w:sz w:val="24"/>
          <w:szCs w:val="24"/>
        </w:rPr>
      </w:pPr>
      <w:r w:rsidRPr="00A62174">
        <w:rPr>
          <w:rFonts w:ascii="Times New Roman" w:hAnsi="Times New Roman" w:cs="Times New Roman"/>
          <w:sz w:val="24"/>
          <w:szCs w:val="24"/>
        </w:rPr>
        <w:t>JASON N. MINTON</w:t>
      </w:r>
    </w:p>
    <w:p w:rsidR="00A62174" w:rsidRPr="00A62174" w:rsidRDefault="00A62174" w:rsidP="00A62174">
      <w:pPr>
        <w:spacing w:after="0"/>
        <w:jc w:val="both"/>
        <w:rPr>
          <w:rFonts w:ascii="Times New Roman" w:hAnsi="Times New Roman" w:cs="Times New Roman"/>
          <w:sz w:val="24"/>
          <w:szCs w:val="24"/>
        </w:rPr>
      </w:pPr>
      <w:r w:rsidRPr="00A62174">
        <w:rPr>
          <w:rFonts w:ascii="Times New Roman" w:hAnsi="Times New Roman" w:cs="Times New Roman"/>
          <w:sz w:val="24"/>
          <w:szCs w:val="24"/>
        </w:rPr>
        <w:t>_____________________/</w:t>
      </w:r>
    </w:p>
    <w:p w:rsidR="009F1E6D" w:rsidRDefault="009F1E6D" w:rsidP="00A62174">
      <w:pPr>
        <w:spacing w:after="0" w:line="480" w:lineRule="auto"/>
        <w:rPr>
          <w:rFonts w:ascii="Times New Roman" w:hAnsi="Times New Roman" w:cs="Times New Roman"/>
          <w:sz w:val="24"/>
          <w:szCs w:val="24"/>
        </w:rPr>
      </w:pPr>
    </w:p>
    <w:p w:rsidR="00A62174" w:rsidRPr="00A62174" w:rsidRDefault="00A62174" w:rsidP="00A62174">
      <w:pPr>
        <w:spacing w:after="0" w:line="480" w:lineRule="auto"/>
        <w:jc w:val="center"/>
        <w:rPr>
          <w:rFonts w:ascii="Times New Roman" w:hAnsi="Times New Roman" w:cs="Times New Roman"/>
          <w:b/>
          <w:sz w:val="24"/>
          <w:szCs w:val="24"/>
          <w:u w:val="single"/>
        </w:rPr>
      </w:pPr>
      <w:r>
        <w:rPr>
          <w:rFonts w:ascii="Times New Roman" w:hAnsi="Times New Roman" w:cs="Times New Roman"/>
          <w:b/>
          <w:sz w:val="24"/>
          <w:szCs w:val="24"/>
          <w:u w:val="single"/>
        </w:rPr>
        <w:t>Motion in Limine</w:t>
      </w:r>
    </w:p>
    <w:p w:rsidR="00A1481B" w:rsidRPr="00A1481B" w:rsidRDefault="00A1481B" w:rsidP="004B3276">
      <w:pPr>
        <w:spacing w:line="480" w:lineRule="auto"/>
        <w:ind w:firstLine="720"/>
        <w:jc w:val="both"/>
        <w:rPr>
          <w:rFonts w:ascii="Times New Roman" w:hAnsi="Times New Roman" w:cs="Times New Roman"/>
          <w:sz w:val="24"/>
          <w:szCs w:val="24"/>
        </w:rPr>
      </w:pPr>
      <w:r w:rsidRPr="00A1481B">
        <w:rPr>
          <w:rFonts w:ascii="Times New Roman" w:hAnsi="Times New Roman" w:cs="Times New Roman"/>
          <w:sz w:val="24"/>
          <w:szCs w:val="24"/>
        </w:rPr>
        <w:t>Defendant, Jason Minton, by and through the undersigned attorney hereby files this Motion in Limine</w:t>
      </w:r>
      <w:r>
        <w:rPr>
          <w:rFonts w:ascii="Times New Roman" w:hAnsi="Times New Roman" w:cs="Times New Roman"/>
          <w:sz w:val="24"/>
          <w:szCs w:val="24"/>
        </w:rPr>
        <w:t xml:space="preserve"> and requests the C</w:t>
      </w:r>
      <w:r w:rsidRPr="00A1481B">
        <w:rPr>
          <w:rFonts w:ascii="Times New Roman" w:hAnsi="Times New Roman" w:cs="Times New Roman"/>
          <w:sz w:val="24"/>
          <w:szCs w:val="24"/>
        </w:rPr>
        <w:t xml:space="preserve">ourt to </w:t>
      </w:r>
      <w:r>
        <w:rPr>
          <w:rFonts w:ascii="Times New Roman" w:hAnsi="Times New Roman" w:cs="Times New Roman"/>
          <w:sz w:val="24"/>
          <w:szCs w:val="24"/>
        </w:rPr>
        <w:t xml:space="preserve">allow Defendant’s counsel to </w:t>
      </w:r>
      <w:r w:rsidR="008D53D4">
        <w:rPr>
          <w:rFonts w:ascii="Times New Roman" w:hAnsi="Times New Roman" w:cs="Times New Roman"/>
          <w:sz w:val="24"/>
          <w:szCs w:val="24"/>
        </w:rPr>
        <w:t>present evidence</w:t>
      </w:r>
      <w:r w:rsidRPr="00A1481B">
        <w:rPr>
          <w:rFonts w:ascii="Times New Roman" w:hAnsi="Times New Roman" w:cs="Times New Roman"/>
          <w:sz w:val="24"/>
          <w:szCs w:val="24"/>
        </w:rPr>
        <w:t xml:space="preserve"> </w:t>
      </w:r>
      <w:r w:rsidR="008D53D4">
        <w:rPr>
          <w:rFonts w:ascii="Times New Roman" w:hAnsi="Times New Roman" w:cs="Times New Roman"/>
          <w:sz w:val="24"/>
          <w:szCs w:val="24"/>
        </w:rPr>
        <w:t>concerning</w:t>
      </w:r>
      <w:r>
        <w:rPr>
          <w:rFonts w:ascii="Times New Roman" w:hAnsi="Times New Roman" w:cs="Times New Roman"/>
          <w:sz w:val="24"/>
          <w:szCs w:val="24"/>
        </w:rPr>
        <w:t xml:space="preserve"> </w:t>
      </w:r>
      <w:r w:rsidRPr="00A1481B">
        <w:rPr>
          <w:rFonts w:ascii="Times New Roman" w:hAnsi="Times New Roman" w:cs="Times New Roman"/>
          <w:sz w:val="24"/>
          <w:szCs w:val="24"/>
        </w:rPr>
        <w:t>Ms. Megan Peppers</w:t>
      </w:r>
      <w:r>
        <w:rPr>
          <w:rFonts w:ascii="Times New Roman" w:hAnsi="Times New Roman" w:cs="Times New Roman"/>
          <w:sz w:val="24"/>
          <w:szCs w:val="24"/>
        </w:rPr>
        <w:t>’</w:t>
      </w:r>
      <w:r w:rsidRPr="00A1481B">
        <w:rPr>
          <w:rFonts w:ascii="Times New Roman" w:hAnsi="Times New Roman" w:cs="Times New Roman"/>
          <w:sz w:val="24"/>
          <w:szCs w:val="24"/>
        </w:rPr>
        <w:t xml:space="preserve"> </w:t>
      </w:r>
      <w:r w:rsidR="008D53D4">
        <w:rPr>
          <w:rFonts w:ascii="Times New Roman" w:hAnsi="Times New Roman" w:cs="Times New Roman"/>
          <w:sz w:val="24"/>
          <w:szCs w:val="24"/>
        </w:rPr>
        <w:t>recent</w:t>
      </w:r>
      <w:r>
        <w:rPr>
          <w:rFonts w:ascii="Times New Roman" w:hAnsi="Times New Roman" w:cs="Times New Roman"/>
          <w:sz w:val="24"/>
          <w:szCs w:val="24"/>
        </w:rPr>
        <w:t xml:space="preserve"> </w:t>
      </w:r>
      <w:r w:rsidR="008D53D4">
        <w:rPr>
          <w:rFonts w:ascii="Times New Roman" w:hAnsi="Times New Roman" w:cs="Times New Roman"/>
          <w:sz w:val="24"/>
          <w:szCs w:val="24"/>
        </w:rPr>
        <w:t>prostitution arrest</w:t>
      </w:r>
      <w:r>
        <w:rPr>
          <w:rFonts w:ascii="Times New Roman" w:hAnsi="Times New Roman" w:cs="Times New Roman"/>
          <w:sz w:val="24"/>
          <w:szCs w:val="24"/>
        </w:rPr>
        <w:t>, as well as her probationary and absconder statuses</w:t>
      </w:r>
      <w:r w:rsidRPr="00A1481B">
        <w:rPr>
          <w:rFonts w:ascii="Times New Roman" w:hAnsi="Times New Roman" w:cs="Times New Roman"/>
          <w:sz w:val="24"/>
          <w:szCs w:val="24"/>
        </w:rPr>
        <w:t xml:space="preserve">. </w:t>
      </w:r>
    </w:p>
    <w:p w:rsidR="00A1481B" w:rsidRPr="00A1481B" w:rsidRDefault="00A1481B" w:rsidP="004B3276">
      <w:pPr>
        <w:spacing w:line="480" w:lineRule="auto"/>
        <w:jc w:val="both"/>
        <w:rPr>
          <w:rFonts w:ascii="Times New Roman" w:hAnsi="Times New Roman" w:cs="Times New Roman"/>
          <w:sz w:val="24"/>
          <w:szCs w:val="24"/>
        </w:rPr>
      </w:pPr>
      <w:r w:rsidRPr="00A1481B">
        <w:rPr>
          <w:rFonts w:ascii="Times New Roman" w:hAnsi="Times New Roman" w:cs="Times New Roman"/>
          <w:sz w:val="24"/>
          <w:szCs w:val="24"/>
        </w:rPr>
        <w:tab/>
        <w:t>In support of this motion Defendant would show the following:</w:t>
      </w:r>
    </w:p>
    <w:p w:rsidR="00A574B9" w:rsidRPr="004B3276" w:rsidRDefault="00A574B9" w:rsidP="004B3276">
      <w:pPr>
        <w:pStyle w:val="ListParagraph"/>
        <w:numPr>
          <w:ilvl w:val="0"/>
          <w:numId w:val="2"/>
        </w:numPr>
        <w:spacing w:line="480" w:lineRule="auto"/>
        <w:jc w:val="both"/>
        <w:rPr>
          <w:rFonts w:ascii="Times New Roman" w:hAnsi="Times New Roman" w:cs="Times New Roman"/>
          <w:b/>
          <w:sz w:val="24"/>
          <w:szCs w:val="24"/>
        </w:rPr>
      </w:pPr>
      <w:r w:rsidRPr="004B3276">
        <w:rPr>
          <w:rFonts w:ascii="Times New Roman" w:hAnsi="Times New Roman" w:cs="Times New Roman"/>
          <w:b/>
          <w:sz w:val="24"/>
          <w:szCs w:val="24"/>
        </w:rPr>
        <w:t xml:space="preserve">Statement of Relevant </w:t>
      </w:r>
      <w:r w:rsidR="004B3276" w:rsidRPr="004B3276">
        <w:rPr>
          <w:rFonts w:ascii="Times New Roman" w:hAnsi="Times New Roman" w:cs="Times New Roman"/>
          <w:b/>
          <w:sz w:val="24"/>
          <w:szCs w:val="24"/>
        </w:rPr>
        <w:t>Facts</w:t>
      </w:r>
    </w:p>
    <w:p w:rsidR="00A574B9" w:rsidRDefault="00A574B9" w:rsidP="004B3276">
      <w:pPr>
        <w:spacing w:line="480" w:lineRule="auto"/>
        <w:ind w:firstLine="720"/>
        <w:jc w:val="both"/>
        <w:rPr>
          <w:rFonts w:ascii="Times New Roman" w:hAnsi="Times New Roman" w:cs="Times New Roman"/>
          <w:sz w:val="24"/>
          <w:szCs w:val="24"/>
        </w:rPr>
      </w:pPr>
      <w:r w:rsidRPr="003D263B">
        <w:rPr>
          <w:rFonts w:ascii="Times New Roman" w:hAnsi="Times New Roman" w:cs="Times New Roman"/>
          <w:sz w:val="24"/>
          <w:szCs w:val="24"/>
        </w:rPr>
        <w:t>Ms. Peppers was arrested and charged with Prostitution on June 20, 2014.</w:t>
      </w:r>
      <w:r>
        <w:rPr>
          <w:rFonts w:ascii="Times New Roman" w:hAnsi="Times New Roman" w:cs="Times New Roman"/>
          <w:sz w:val="24"/>
          <w:szCs w:val="24"/>
        </w:rPr>
        <w:t xml:space="preserve">  </w:t>
      </w:r>
      <w:r w:rsidRPr="003D263B">
        <w:rPr>
          <w:rFonts w:ascii="Times New Roman" w:hAnsi="Times New Roman" w:cs="Times New Roman"/>
          <w:sz w:val="24"/>
          <w:szCs w:val="24"/>
        </w:rPr>
        <w:t>Based upon information that counsel for the Defendant has obtained, on November 11, 2014 Ms. Peppers received a suspended sentence of 11 months</w:t>
      </w:r>
      <w:r>
        <w:rPr>
          <w:rFonts w:ascii="Times New Roman" w:hAnsi="Times New Roman" w:cs="Times New Roman"/>
          <w:sz w:val="24"/>
          <w:szCs w:val="24"/>
        </w:rPr>
        <w:t xml:space="preserve"> and</w:t>
      </w:r>
      <w:r w:rsidRPr="003D263B">
        <w:rPr>
          <w:rFonts w:ascii="Times New Roman" w:hAnsi="Times New Roman" w:cs="Times New Roman"/>
          <w:sz w:val="24"/>
          <w:szCs w:val="24"/>
        </w:rPr>
        <w:t xml:space="preserve"> 29 days and was placed on probation.</w:t>
      </w:r>
      <w:r>
        <w:rPr>
          <w:rFonts w:ascii="Times New Roman" w:hAnsi="Times New Roman" w:cs="Times New Roman"/>
          <w:sz w:val="24"/>
          <w:szCs w:val="24"/>
        </w:rPr>
        <w:t xml:space="preserve">  </w:t>
      </w:r>
      <w:r w:rsidRPr="003D263B">
        <w:rPr>
          <w:rFonts w:ascii="Times New Roman" w:hAnsi="Times New Roman" w:cs="Times New Roman"/>
          <w:sz w:val="24"/>
          <w:szCs w:val="24"/>
        </w:rPr>
        <w:t>She was to complete 56 community service hours in Florida as part of her probation.</w:t>
      </w:r>
      <w:r>
        <w:rPr>
          <w:rFonts w:ascii="Times New Roman" w:hAnsi="Times New Roman" w:cs="Times New Roman"/>
          <w:sz w:val="24"/>
          <w:szCs w:val="24"/>
        </w:rPr>
        <w:t xml:space="preserve">  </w:t>
      </w:r>
      <w:r w:rsidRPr="003D263B">
        <w:rPr>
          <w:rFonts w:ascii="Times New Roman" w:hAnsi="Times New Roman" w:cs="Times New Roman"/>
          <w:sz w:val="24"/>
          <w:szCs w:val="24"/>
        </w:rPr>
        <w:t>On March 19, 2015 the Tennessee court ordered a warrant for her arrest.</w:t>
      </w:r>
      <w:r>
        <w:rPr>
          <w:rFonts w:ascii="Times New Roman" w:hAnsi="Times New Roman" w:cs="Times New Roman"/>
          <w:sz w:val="24"/>
          <w:szCs w:val="24"/>
        </w:rPr>
        <w:t xml:space="preserve">  </w:t>
      </w:r>
      <w:r w:rsidRPr="003D263B">
        <w:rPr>
          <w:rFonts w:ascii="Times New Roman" w:hAnsi="Times New Roman" w:cs="Times New Roman"/>
          <w:sz w:val="24"/>
          <w:szCs w:val="24"/>
        </w:rPr>
        <w:t>That warrant was issued on March 20, 2015 and is still active.</w:t>
      </w:r>
      <w:r>
        <w:rPr>
          <w:rFonts w:ascii="Times New Roman" w:hAnsi="Times New Roman" w:cs="Times New Roman"/>
          <w:sz w:val="24"/>
          <w:szCs w:val="24"/>
        </w:rPr>
        <w:t xml:space="preserve">  </w:t>
      </w:r>
      <w:r w:rsidRPr="003D263B">
        <w:rPr>
          <w:rFonts w:ascii="Times New Roman" w:hAnsi="Times New Roman" w:cs="Times New Roman"/>
          <w:sz w:val="24"/>
          <w:szCs w:val="24"/>
        </w:rPr>
        <w:t>Bond is set in the amount of $5,000.00.</w:t>
      </w:r>
      <w:r w:rsidR="004004BF">
        <w:rPr>
          <w:rFonts w:ascii="Times New Roman" w:hAnsi="Times New Roman" w:cs="Times New Roman"/>
          <w:sz w:val="24"/>
          <w:szCs w:val="24"/>
        </w:rPr>
        <w:t xml:space="preserve">  </w:t>
      </w:r>
      <w:r w:rsidR="004004BF" w:rsidRPr="004004BF">
        <w:rPr>
          <w:rFonts w:ascii="Times New Roman" w:hAnsi="Times New Roman" w:cs="Times New Roman"/>
          <w:i/>
          <w:sz w:val="24"/>
          <w:szCs w:val="24"/>
        </w:rPr>
        <w:t>See</w:t>
      </w:r>
      <w:r w:rsidR="004004BF">
        <w:rPr>
          <w:rFonts w:ascii="Times New Roman" w:hAnsi="Times New Roman" w:cs="Times New Roman"/>
          <w:sz w:val="24"/>
          <w:szCs w:val="24"/>
        </w:rPr>
        <w:t xml:space="preserve"> e-filed reciprocal discovery document </w:t>
      </w:r>
      <w:r w:rsidR="004004BF" w:rsidRPr="004004BF">
        <w:rPr>
          <w:rFonts w:ascii="Times New Roman" w:hAnsi="Times New Roman" w:cs="Times New Roman"/>
          <w:sz w:val="24"/>
          <w:szCs w:val="24"/>
        </w:rPr>
        <w:t>55818256</w:t>
      </w:r>
      <w:r w:rsidR="004004BF">
        <w:rPr>
          <w:rFonts w:ascii="Times New Roman" w:hAnsi="Times New Roman" w:cs="Times New Roman"/>
          <w:sz w:val="24"/>
          <w:szCs w:val="24"/>
        </w:rPr>
        <w:t>.</w:t>
      </w:r>
    </w:p>
    <w:p w:rsidR="005D292C" w:rsidRDefault="005D292C" w:rsidP="004B327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Starting on page 74 of the transcription of Ms. Peppers’ recorded interview with law enforcement, she begins discussing the probation she was on at the time and admits that she had outstanding obligations: “. . . I had the choice of going to jail for seven days or having seven days’ community service and then like a thousand dollars worth of fines. . . . I should have just took the seven days in jail. . . . I’m still trying to work on [the fine]. . . . I have until November to do that.”  Preceding this admission is Ms. Peppers’ account of being </w:t>
      </w:r>
      <w:r w:rsidR="001C0772">
        <w:rPr>
          <w:rFonts w:ascii="Times New Roman" w:hAnsi="Times New Roman" w:cs="Times New Roman"/>
          <w:sz w:val="24"/>
          <w:szCs w:val="24"/>
        </w:rPr>
        <w:t>held in sexual slavery at the time of her arrest for prostitution, which she told law enforcement was the reason for her actions that led to that arrest.  Ms. Peppers repeats these stories in her deposition, admitting on page 8 that she has not dealt with her prostitution charge, with pages 26 and 87 beginning recounts of her sexual slavery.</w:t>
      </w:r>
    </w:p>
    <w:p w:rsidR="00A1481B" w:rsidRPr="004B3276" w:rsidRDefault="00A1481B" w:rsidP="004B3276">
      <w:pPr>
        <w:pStyle w:val="ListParagraph"/>
        <w:numPr>
          <w:ilvl w:val="0"/>
          <w:numId w:val="2"/>
        </w:numPr>
        <w:spacing w:line="480" w:lineRule="auto"/>
        <w:jc w:val="both"/>
        <w:rPr>
          <w:rFonts w:ascii="Times New Roman" w:hAnsi="Times New Roman" w:cs="Times New Roman"/>
          <w:b/>
          <w:sz w:val="24"/>
          <w:szCs w:val="24"/>
        </w:rPr>
      </w:pPr>
      <w:r w:rsidRPr="004B3276">
        <w:rPr>
          <w:rFonts w:ascii="Times New Roman" w:hAnsi="Times New Roman" w:cs="Times New Roman"/>
          <w:b/>
          <w:sz w:val="24"/>
          <w:szCs w:val="24"/>
        </w:rPr>
        <w:t>Argument</w:t>
      </w:r>
    </w:p>
    <w:p w:rsidR="00A574B9" w:rsidRDefault="00A1481B" w:rsidP="004B327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is incontrovertible that Ms. Peppers is the key State witness.  Without her credible testimony, the State could not hope for a conviction.  When the credibility of the testimony of one witness is so central to the prosecution’s case, </w:t>
      </w:r>
      <w:r w:rsidR="00B47BD1">
        <w:rPr>
          <w:rFonts w:ascii="Times New Roman" w:hAnsi="Times New Roman" w:cs="Times New Roman"/>
          <w:sz w:val="24"/>
          <w:szCs w:val="24"/>
        </w:rPr>
        <w:t>a defendant</w:t>
      </w:r>
      <w:r>
        <w:rPr>
          <w:rFonts w:ascii="Times New Roman" w:hAnsi="Times New Roman" w:cs="Times New Roman"/>
          <w:sz w:val="24"/>
          <w:szCs w:val="24"/>
        </w:rPr>
        <w:t xml:space="preserve"> should be allowed substantial discretion for cross examination.  See </w:t>
      </w:r>
      <w:r w:rsidRPr="00A574B9">
        <w:rPr>
          <w:rFonts w:ascii="Times New Roman" w:hAnsi="Times New Roman" w:cs="Times New Roman"/>
          <w:i/>
          <w:sz w:val="24"/>
          <w:szCs w:val="24"/>
        </w:rPr>
        <w:t>Elmer v. State</w:t>
      </w:r>
      <w:r>
        <w:rPr>
          <w:rFonts w:ascii="Times New Roman" w:hAnsi="Times New Roman" w:cs="Times New Roman"/>
          <w:sz w:val="24"/>
          <w:szCs w:val="24"/>
        </w:rPr>
        <w:t>, 114 So.3d 198, 202-3 (Fla. 5</w:t>
      </w:r>
      <w:r w:rsidRPr="00A574B9">
        <w:rPr>
          <w:rFonts w:ascii="Times New Roman" w:hAnsi="Times New Roman" w:cs="Times New Roman"/>
          <w:sz w:val="24"/>
          <w:szCs w:val="24"/>
          <w:vertAlign w:val="superscript"/>
        </w:rPr>
        <w:t>th</w:t>
      </w:r>
      <w:r>
        <w:rPr>
          <w:rFonts w:ascii="Times New Roman" w:hAnsi="Times New Roman" w:cs="Times New Roman"/>
          <w:sz w:val="24"/>
          <w:szCs w:val="24"/>
        </w:rPr>
        <w:t xml:space="preserve"> DCA 2012)(“</w:t>
      </w:r>
      <w:r w:rsidR="00A574B9">
        <w:rPr>
          <w:rFonts w:ascii="Times New Roman" w:hAnsi="Times New Roman" w:cs="Times New Roman"/>
          <w:sz w:val="24"/>
          <w:szCs w:val="24"/>
        </w:rPr>
        <w:t>Because the victim was the key prosecution witness, [the Defendant] should have been afforded wide latitude in his cross-examination of her.</w:t>
      </w:r>
      <w:r>
        <w:rPr>
          <w:rFonts w:ascii="Times New Roman" w:hAnsi="Times New Roman" w:cs="Times New Roman"/>
          <w:sz w:val="24"/>
          <w:szCs w:val="24"/>
        </w:rPr>
        <w:t>”).</w:t>
      </w:r>
      <w:r w:rsidR="00B47BD1">
        <w:rPr>
          <w:rFonts w:ascii="Times New Roman" w:hAnsi="Times New Roman" w:cs="Times New Roman"/>
          <w:sz w:val="24"/>
          <w:szCs w:val="24"/>
        </w:rPr>
        <w:t xml:space="preserve">  </w:t>
      </w:r>
      <w:r w:rsidR="004B3276">
        <w:rPr>
          <w:rFonts w:ascii="Times New Roman" w:hAnsi="Times New Roman" w:cs="Times New Roman"/>
          <w:sz w:val="24"/>
          <w:szCs w:val="24"/>
        </w:rPr>
        <w:t>Therefore</w:t>
      </w:r>
      <w:r w:rsidR="00B47BD1">
        <w:rPr>
          <w:rFonts w:ascii="Times New Roman" w:hAnsi="Times New Roman" w:cs="Times New Roman"/>
          <w:sz w:val="24"/>
          <w:szCs w:val="24"/>
        </w:rPr>
        <w:t xml:space="preserve">, counsel for the Defendant should be allowed to inquire </w:t>
      </w:r>
      <w:r w:rsidR="00751342">
        <w:rPr>
          <w:rFonts w:ascii="Times New Roman" w:hAnsi="Times New Roman" w:cs="Times New Roman"/>
          <w:sz w:val="24"/>
          <w:szCs w:val="24"/>
        </w:rPr>
        <w:t>as to both her 2014 arrest for p</w:t>
      </w:r>
      <w:r w:rsidR="00B47BD1">
        <w:rPr>
          <w:rFonts w:ascii="Times New Roman" w:hAnsi="Times New Roman" w:cs="Times New Roman"/>
          <w:sz w:val="24"/>
          <w:szCs w:val="24"/>
        </w:rPr>
        <w:t>rostitution and her probationary and absconder statuses.</w:t>
      </w:r>
    </w:p>
    <w:p w:rsidR="004B3276" w:rsidRDefault="00B47BD1" w:rsidP="004B3276">
      <w:pPr>
        <w:pStyle w:val="ListParagraph"/>
        <w:numPr>
          <w:ilvl w:val="1"/>
          <w:numId w:val="2"/>
        </w:numPr>
        <w:spacing w:line="480" w:lineRule="auto"/>
        <w:jc w:val="both"/>
        <w:rPr>
          <w:rFonts w:ascii="Times New Roman" w:hAnsi="Times New Roman" w:cs="Times New Roman"/>
          <w:sz w:val="24"/>
          <w:szCs w:val="24"/>
          <w:u w:val="single"/>
        </w:rPr>
      </w:pPr>
      <w:r w:rsidRPr="004B3276">
        <w:rPr>
          <w:rFonts w:ascii="Times New Roman" w:hAnsi="Times New Roman" w:cs="Times New Roman"/>
          <w:sz w:val="24"/>
          <w:szCs w:val="24"/>
          <w:u w:val="single"/>
        </w:rPr>
        <w:t>2014 Prostitution Arrest</w:t>
      </w:r>
    </w:p>
    <w:p w:rsidR="004B72CD" w:rsidRPr="001B0D22" w:rsidRDefault="001B0D22" w:rsidP="004B72CD">
      <w:pPr>
        <w:spacing w:after="240" w:line="480" w:lineRule="auto"/>
        <w:ind w:right="72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Evidence of Ms. Peppers’ prostitution charge, for which she is currently on probation and from which she has absconded, must be allowed to be presented.  To do otherwise would be to rob the Defendant of a viable theory of defense</w:t>
      </w:r>
      <w:r w:rsidR="00751342">
        <w:rPr>
          <w:rFonts w:ascii="Times New Roman" w:eastAsia="Times New Roman" w:hAnsi="Times New Roman" w:cs="Times New Roman"/>
          <w:sz w:val="24"/>
          <w:szCs w:val="24"/>
        </w:rPr>
        <w:t>:</w:t>
      </w:r>
      <w:r w:rsidR="004B72CD">
        <w:rPr>
          <w:rFonts w:ascii="Times New Roman" w:eastAsia="Times New Roman" w:hAnsi="Times New Roman" w:cs="Times New Roman"/>
          <w:sz w:val="24"/>
          <w:szCs w:val="24"/>
        </w:rPr>
        <w:t xml:space="preserve">  </w:t>
      </w:r>
    </w:p>
    <w:p w:rsidR="00996743" w:rsidRDefault="00996743" w:rsidP="001B0D22">
      <w:pPr>
        <w:pStyle w:val="ListParagraph"/>
        <w:spacing w:after="240" w:line="240" w:lineRule="auto"/>
        <w:ind w:right="720"/>
        <w:jc w:val="both"/>
        <w:rPr>
          <w:rFonts w:ascii="Times New Roman" w:eastAsia="Times New Roman" w:hAnsi="Times New Roman" w:cs="Times New Roman"/>
          <w:sz w:val="24"/>
          <w:szCs w:val="24"/>
        </w:rPr>
      </w:pPr>
      <w:r w:rsidRPr="00996743">
        <w:rPr>
          <w:rFonts w:ascii="Times New Roman" w:eastAsia="Times New Roman" w:hAnsi="Times New Roman" w:cs="Times New Roman"/>
          <w:sz w:val="24"/>
          <w:szCs w:val="24"/>
        </w:rPr>
        <w:t xml:space="preserve">We agree with appellant's basic premise that evidence of prostitution may well have a bearing on the issue of consent where the defendant's defense is that the sexual encounter which he had with the victim was in connection with an act of prostitution. </w:t>
      </w:r>
      <w:r w:rsidRPr="00996743">
        <w:rPr>
          <w:rFonts w:ascii="Times New Roman" w:eastAsia="Times New Roman" w:hAnsi="Times New Roman" w:cs="Times New Roman"/>
          <w:i/>
          <w:iCs/>
          <w:sz w:val="24"/>
          <w:szCs w:val="24"/>
        </w:rPr>
        <w:t>Roberts v. State,</w:t>
      </w:r>
      <w:r w:rsidRPr="00996743">
        <w:rPr>
          <w:rFonts w:ascii="Times New Roman" w:eastAsia="Times New Roman" w:hAnsi="Times New Roman" w:cs="Times New Roman"/>
          <w:sz w:val="24"/>
          <w:szCs w:val="24"/>
        </w:rPr>
        <w:t xml:space="preserve"> 510 So.2d at 892; </w:t>
      </w:r>
      <w:r w:rsidRPr="00996743">
        <w:rPr>
          <w:rFonts w:ascii="Times New Roman" w:eastAsia="Times New Roman" w:hAnsi="Times New Roman" w:cs="Times New Roman"/>
          <w:i/>
          <w:iCs/>
          <w:sz w:val="24"/>
          <w:szCs w:val="24"/>
        </w:rPr>
        <w:t>State v. Jenkins,</w:t>
      </w:r>
      <w:r w:rsidRPr="00996743">
        <w:rPr>
          <w:rFonts w:ascii="Times New Roman" w:eastAsia="Times New Roman" w:hAnsi="Times New Roman" w:cs="Times New Roman"/>
          <w:sz w:val="24"/>
          <w:szCs w:val="24"/>
        </w:rPr>
        <w:t xml:space="preserve"> 456 So.2d 174 (La.App. 2d Cir.1984); </w:t>
      </w:r>
      <w:r w:rsidRPr="00996743">
        <w:rPr>
          <w:rFonts w:ascii="Times New Roman" w:eastAsia="Times New Roman" w:hAnsi="Times New Roman" w:cs="Times New Roman"/>
          <w:i/>
          <w:iCs/>
          <w:sz w:val="24"/>
          <w:szCs w:val="24"/>
        </w:rPr>
        <w:t>State ex rel. Pope v. Superior Court,</w:t>
      </w:r>
      <w:r w:rsidRPr="00996743">
        <w:rPr>
          <w:rFonts w:ascii="Times New Roman" w:eastAsia="Times New Roman" w:hAnsi="Times New Roman" w:cs="Times New Roman"/>
          <w:sz w:val="24"/>
          <w:szCs w:val="24"/>
        </w:rPr>
        <w:t xml:space="preserve"> 113 Ariz. 22, 545 P.2d 946, 94 A.L.R.3d 246 (1976). Should a defendant make a sufficient showing through an offer of proof on the record, or by other appropriate means, that the evidence of prostitution bears materially on the issue of consent, and that without the opportunity to elicit that evidence the defendant's ability to present a defense will be critically hampered, then the trial court should engage in a balancing test to weigh the probative value of the evidence against the unfair prejudice to the victim and the state's case to determine if it should be admitted. The trial court's decision will be reviewed using an abuse of discretion standard. </w:t>
      </w:r>
      <w:r w:rsidRPr="00996743">
        <w:rPr>
          <w:rFonts w:ascii="Times New Roman" w:eastAsia="Times New Roman" w:hAnsi="Times New Roman" w:cs="Times New Roman"/>
          <w:i/>
          <w:iCs/>
          <w:sz w:val="24"/>
          <w:szCs w:val="24"/>
        </w:rPr>
        <w:t>See, e.g., State ex rel. Pope v. Superior Court, supra,</w:t>
      </w:r>
      <w:r w:rsidRPr="00996743">
        <w:rPr>
          <w:rFonts w:ascii="Times New Roman" w:eastAsia="Times New Roman" w:hAnsi="Times New Roman" w:cs="Times New Roman"/>
          <w:sz w:val="24"/>
          <w:szCs w:val="24"/>
        </w:rPr>
        <w:t xml:space="preserve"> and </w:t>
      </w:r>
      <w:r w:rsidRPr="00996743">
        <w:rPr>
          <w:rFonts w:ascii="Times New Roman" w:eastAsia="Times New Roman" w:hAnsi="Times New Roman" w:cs="Times New Roman"/>
          <w:i/>
          <w:iCs/>
          <w:sz w:val="24"/>
          <w:szCs w:val="24"/>
        </w:rPr>
        <w:t>Holloway v. State,</w:t>
      </w:r>
      <w:r w:rsidRPr="00996743">
        <w:rPr>
          <w:rFonts w:ascii="Times New Roman" w:eastAsia="Times New Roman" w:hAnsi="Times New Roman" w:cs="Times New Roman"/>
          <w:sz w:val="24"/>
          <w:szCs w:val="24"/>
        </w:rPr>
        <w:t xml:space="preserve"> 695 S.W.2d 112 (Tex.App. 2d Dist.1985).</w:t>
      </w:r>
    </w:p>
    <w:p w:rsidR="001B0D22" w:rsidRPr="00996743" w:rsidRDefault="001B0D22" w:rsidP="001B0D22">
      <w:pPr>
        <w:pStyle w:val="ListParagraph"/>
        <w:spacing w:after="240" w:line="240" w:lineRule="auto"/>
        <w:ind w:right="720"/>
        <w:jc w:val="both"/>
        <w:rPr>
          <w:rFonts w:ascii="Times New Roman" w:eastAsia="Times New Roman" w:hAnsi="Times New Roman" w:cs="Times New Roman"/>
          <w:sz w:val="24"/>
          <w:szCs w:val="24"/>
        </w:rPr>
      </w:pPr>
    </w:p>
    <w:p w:rsidR="00996743" w:rsidRDefault="00996743" w:rsidP="001B0D22">
      <w:pPr>
        <w:pStyle w:val="ListParagraph"/>
        <w:spacing w:after="0" w:line="240" w:lineRule="auto"/>
        <w:ind w:right="720"/>
        <w:jc w:val="both"/>
        <w:rPr>
          <w:rFonts w:ascii="Times New Roman" w:eastAsia="Times New Roman" w:hAnsi="Times New Roman" w:cs="Times New Roman"/>
          <w:sz w:val="24"/>
          <w:szCs w:val="24"/>
        </w:rPr>
      </w:pPr>
      <w:r w:rsidRPr="008D53D4">
        <w:rPr>
          <w:rFonts w:ascii="Times New Roman" w:eastAsia="Times New Roman" w:hAnsi="Times New Roman" w:cs="Times New Roman"/>
          <w:i/>
          <w:sz w:val="24"/>
          <w:szCs w:val="24"/>
        </w:rPr>
        <w:t>Robinson v. State</w:t>
      </w:r>
      <w:r w:rsidRPr="00996743">
        <w:rPr>
          <w:rFonts w:ascii="Times New Roman" w:eastAsia="Times New Roman" w:hAnsi="Times New Roman" w:cs="Times New Roman"/>
          <w:sz w:val="24"/>
          <w:szCs w:val="24"/>
        </w:rPr>
        <w:t>, 575 So. 2d 699, 702–03 (Fla. Dist. Ct. App. 1991)</w:t>
      </w:r>
      <w:r w:rsidR="001B0D22">
        <w:rPr>
          <w:rFonts w:ascii="Times New Roman" w:eastAsia="Times New Roman" w:hAnsi="Times New Roman" w:cs="Times New Roman"/>
          <w:sz w:val="24"/>
          <w:szCs w:val="24"/>
        </w:rPr>
        <w:t>.</w:t>
      </w:r>
    </w:p>
    <w:p w:rsidR="003B1681" w:rsidRDefault="003B1681" w:rsidP="003B1681">
      <w:pPr>
        <w:pStyle w:val="ListParagraph"/>
        <w:spacing w:after="0" w:line="240" w:lineRule="auto"/>
        <w:ind w:righ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See also </w:t>
      </w:r>
      <w:r w:rsidRPr="00283099">
        <w:rPr>
          <w:rFonts w:ascii="Times New Roman" w:eastAsia="Times New Roman" w:hAnsi="Times New Roman" w:cs="Times New Roman"/>
          <w:i/>
          <w:sz w:val="24"/>
          <w:szCs w:val="24"/>
        </w:rPr>
        <w:t>Harrell v. State</w:t>
      </w:r>
      <w:r>
        <w:rPr>
          <w:rFonts w:ascii="Times New Roman" w:eastAsia="Times New Roman" w:hAnsi="Times New Roman" w:cs="Times New Roman"/>
          <w:sz w:val="24"/>
          <w:szCs w:val="24"/>
        </w:rPr>
        <w:t>, 108 So.3d 1146, 1147 (Fla. 5</w:t>
      </w:r>
      <w:r w:rsidRPr="00283099">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DCA 2013).</w:t>
      </w:r>
    </w:p>
    <w:p w:rsidR="004B72CD" w:rsidRPr="00996743" w:rsidRDefault="004B72CD" w:rsidP="001B0D22">
      <w:pPr>
        <w:pStyle w:val="ListParagraph"/>
        <w:spacing w:after="0" w:line="240" w:lineRule="auto"/>
        <w:ind w:right="720"/>
        <w:jc w:val="both"/>
        <w:rPr>
          <w:rFonts w:ascii="Times New Roman" w:eastAsia="Times New Roman" w:hAnsi="Times New Roman" w:cs="Times New Roman"/>
          <w:sz w:val="24"/>
          <w:szCs w:val="24"/>
        </w:rPr>
      </w:pPr>
    </w:p>
    <w:p w:rsidR="004B72CD" w:rsidRDefault="004B72CD" w:rsidP="00996743">
      <w:pPr>
        <w:spacing w:line="480" w:lineRule="auto"/>
        <w:jc w:val="both"/>
        <w:rPr>
          <w:rFonts w:ascii="Times New Roman" w:hAnsi="Times New Roman" w:cs="Times New Roman"/>
          <w:sz w:val="24"/>
          <w:szCs w:val="24"/>
        </w:rPr>
      </w:pPr>
      <w:r>
        <w:rPr>
          <w:rFonts w:ascii="Times New Roman" w:hAnsi="Times New Roman" w:cs="Times New Roman"/>
          <w:sz w:val="24"/>
          <w:szCs w:val="24"/>
        </w:rPr>
        <w:t>Most people are not willing to perform sex acts for pecuniary gain</w:t>
      </w:r>
      <w:r w:rsidR="008D53D4">
        <w:rPr>
          <w:rFonts w:ascii="Times New Roman" w:hAnsi="Times New Roman" w:cs="Times New Roman"/>
          <w:sz w:val="24"/>
          <w:szCs w:val="24"/>
        </w:rPr>
        <w:t xml:space="preserve">.  Establishing that Ms. Peppers has a history of doing so is the only way to present a believable defense that this incident was a </w:t>
      </w:r>
      <w:r w:rsidR="00751342">
        <w:rPr>
          <w:rFonts w:ascii="Times New Roman" w:hAnsi="Times New Roman" w:cs="Times New Roman"/>
          <w:sz w:val="24"/>
          <w:szCs w:val="24"/>
        </w:rPr>
        <w:t>consensual-</w:t>
      </w:r>
      <w:r w:rsidR="008D53D4">
        <w:rPr>
          <w:rFonts w:ascii="Times New Roman" w:hAnsi="Times New Roman" w:cs="Times New Roman"/>
          <w:sz w:val="24"/>
          <w:szCs w:val="24"/>
        </w:rPr>
        <w:t xml:space="preserve">sex-for-money arrangement that was never consummated.  Any prejudicial impact must be outweighed by the reality that this prior prostitution charge is the best possible evidence that the Defendant can present to a jury to show that Ms. Peppers </w:t>
      </w:r>
      <w:r w:rsidR="00751342">
        <w:rPr>
          <w:rFonts w:ascii="Times New Roman" w:hAnsi="Times New Roman" w:cs="Times New Roman"/>
          <w:sz w:val="24"/>
          <w:szCs w:val="24"/>
        </w:rPr>
        <w:t>consented to</w:t>
      </w:r>
      <w:r w:rsidR="008D53D4">
        <w:rPr>
          <w:rFonts w:ascii="Times New Roman" w:hAnsi="Times New Roman" w:cs="Times New Roman"/>
          <w:sz w:val="24"/>
          <w:szCs w:val="24"/>
        </w:rPr>
        <w:t xml:space="preserve"> such a transaction</w:t>
      </w:r>
      <w:r w:rsidR="00751342">
        <w:rPr>
          <w:rFonts w:ascii="Times New Roman" w:hAnsi="Times New Roman" w:cs="Times New Roman"/>
          <w:sz w:val="24"/>
          <w:szCs w:val="24"/>
        </w:rPr>
        <w:t>.</w:t>
      </w:r>
    </w:p>
    <w:p w:rsidR="00B47BD1" w:rsidRPr="004B3276" w:rsidRDefault="00B47BD1" w:rsidP="004B3276">
      <w:pPr>
        <w:pStyle w:val="ListParagraph"/>
        <w:numPr>
          <w:ilvl w:val="1"/>
          <w:numId w:val="2"/>
        </w:numPr>
        <w:spacing w:line="480" w:lineRule="auto"/>
        <w:jc w:val="both"/>
        <w:rPr>
          <w:rFonts w:ascii="Times New Roman" w:hAnsi="Times New Roman" w:cs="Times New Roman"/>
          <w:sz w:val="24"/>
          <w:szCs w:val="24"/>
          <w:u w:val="single"/>
        </w:rPr>
      </w:pPr>
      <w:r w:rsidRPr="004B3276">
        <w:rPr>
          <w:rFonts w:ascii="Times New Roman" w:hAnsi="Times New Roman" w:cs="Times New Roman"/>
          <w:sz w:val="24"/>
          <w:szCs w:val="24"/>
          <w:u w:val="single"/>
        </w:rPr>
        <w:t>Probationary and Absconder Statuses</w:t>
      </w:r>
    </w:p>
    <w:p w:rsidR="004B3276" w:rsidRPr="008B26C1" w:rsidRDefault="004B3276" w:rsidP="004B3276">
      <w:pPr>
        <w:widowControl w:val="0"/>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Whether or not</w:t>
      </w:r>
      <w:r w:rsidR="009F1E6D" w:rsidRPr="00A5250E">
        <w:rPr>
          <w:rFonts w:ascii="Times New Roman" w:hAnsi="Times New Roman" w:cs="Times New Roman"/>
          <w:sz w:val="24"/>
          <w:szCs w:val="24"/>
        </w:rPr>
        <w:t xml:space="preserve"> the Court finds that </w:t>
      </w:r>
      <w:r>
        <w:rPr>
          <w:rFonts w:ascii="Times New Roman" w:hAnsi="Times New Roman" w:cs="Times New Roman"/>
          <w:sz w:val="24"/>
          <w:szCs w:val="24"/>
        </w:rPr>
        <w:t>Ms. Peppers’</w:t>
      </w:r>
      <w:r w:rsidR="009F1E6D" w:rsidRPr="00A5250E">
        <w:rPr>
          <w:rFonts w:ascii="Times New Roman" w:hAnsi="Times New Roman" w:cs="Times New Roman"/>
          <w:sz w:val="24"/>
          <w:szCs w:val="24"/>
        </w:rPr>
        <w:t xml:space="preserve"> prior arrest is an </w:t>
      </w:r>
      <w:r>
        <w:rPr>
          <w:rFonts w:ascii="Times New Roman" w:hAnsi="Times New Roman" w:cs="Times New Roman"/>
          <w:sz w:val="24"/>
          <w:szCs w:val="24"/>
        </w:rPr>
        <w:t>appropriate</w:t>
      </w:r>
      <w:r w:rsidR="009F1E6D" w:rsidRPr="00A5250E">
        <w:rPr>
          <w:rFonts w:ascii="Times New Roman" w:hAnsi="Times New Roman" w:cs="Times New Roman"/>
          <w:sz w:val="24"/>
          <w:szCs w:val="24"/>
        </w:rPr>
        <w:t xml:space="preserve"> topic for cross examination, the Court must surely allow the Defendant’s counsel the opportunity to cross </w:t>
      </w:r>
      <w:r w:rsidR="009F1E6D" w:rsidRPr="008B26C1">
        <w:rPr>
          <w:rFonts w:ascii="Times New Roman" w:hAnsi="Times New Roman" w:cs="Times New Roman"/>
          <w:sz w:val="24"/>
          <w:szCs w:val="24"/>
        </w:rPr>
        <w:t>examine her</w:t>
      </w:r>
      <w:r w:rsidRPr="008B26C1">
        <w:rPr>
          <w:rFonts w:ascii="Times New Roman" w:hAnsi="Times New Roman" w:cs="Times New Roman"/>
          <w:sz w:val="24"/>
          <w:szCs w:val="24"/>
        </w:rPr>
        <w:t xml:space="preserve"> as to her</w:t>
      </w:r>
      <w:r w:rsidR="009F1E6D" w:rsidRPr="008B26C1">
        <w:rPr>
          <w:rFonts w:ascii="Times New Roman" w:hAnsi="Times New Roman" w:cs="Times New Roman"/>
          <w:sz w:val="24"/>
          <w:szCs w:val="24"/>
        </w:rPr>
        <w:t xml:space="preserve"> probationary status and her status as an absconder </w:t>
      </w:r>
      <w:r w:rsidRPr="008B26C1">
        <w:rPr>
          <w:rFonts w:ascii="Times New Roman" w:hAnsi="Times New Roman" w:cs="Times New Roman"/>
          <w:sz w:val="24"/>
          <w:szCs w:val="24"/>
        </w:rPr>
        <w:t>from justice in</w:t>
      </w:r>
      <w:r w:rsidR="009F1E6D" w:rsidRPr="008B26C1">
        <w:rPr>
          <w:rFonts w:ascii="Times New Roman" w:hAnsi="Times New Roman" w:cs="Times New Roman"/>
          <w:sz w:val="24"/>
          <w:szCs w:val="24"/>
        </w:rPr>
        <w:t xml:space="preserve"> </w:t>
      </w:r>
      <w:r w:rsidR="009F1E6D" w:rsidRPr="008B26C1">
        <w:rPr>
          <w:rFonts w:ascii="Times New Roman" w:hAnsi="Times New Roman" w:cs="Times New Roman"/>
          <w:sz w:val="24"/>
          <w:szCs w:val="24"/>
        </w:rPr>
        <w:lastRenderedPageBreak/>
        <w:t>Tennessee</w:t>
      </w:r>
      <w:r w:rsidRPr="008B26C1">
        <w:rPr>
          <w:rFonts w:ascii="Times New Roman" w:hAnsi="Times New Roman" w:cs="Times New Roman"/>
          <w:sz w:val="24"/>
          <w:szCs w:val="24"/>
        </w:rPr>
        <w:t>:</w:t>
      </w:r>
    </w:p>
    <w:p w:rsidR="004B3276" w:rsidRPr="008B26C1" w:rsidRDefault="004B3276" w:rsidP="004B3276">
      <w:pPr>
        <w:widowControl w:val="0"/>
        <w:autoSpaceDE w:val="0"/>
        <w:autoSpaceDN w:val="0"/>
        <w:adjustRightInd w:val="0"/>
        <w:spacing w:after="0" w:line="240" w:lineRule="auto"/>
        <w:ind w:left="720" w:right="720"/>
        <w:jc w:val="both"/>
        <w:rPr>
          <w:rFonts w:ascii="Times New Roman" w:hAnsi="Times New Roman" w:cs="Times New Roman"/>
          <w:sz w:val="24"/>
          <w:szCs w:val="24"/>
        </w:rPr>
      </w:pPr>
      <w:r w:rsidRPr="008B26C1">
        <w:rPr>
          <w:rFonts w:ascii="Times New Roman" w:hAnsi="Times New Roman" w:cs="Times New Roman"/>
          <w:sz w:val="24"/>
          <w:szCs w:val="24"/>
        </w:rPr>
        <w:t xml:space="preserve">Under the confrontation clause, a defendant has the right to question a witness about his probationary status to reveal possible bias. </w:t>
      </w:r>
      <w:r w:rsidRPr="008B26C1">
        <w:rPr>
          <w:rFonts w:ascii="Times New Roman" w:hAnsi="Times New Roman" w:cs="Times New Roman"/>
          <w:i/>
          <w:iCs/>
          <w:sz w:val="24"/>
          <w:szCs w:val="24"/>
        </w:rPr>
        <w:t xml:space="preserve">See </w:t>
      </w:r>
      <w:hyperlink r:id="rId5" w:history="1">
        <w:r w:rsidRPr="008B26C1">
          <w:rPr>
            <w:rFonts w:ascii="Times New Roman" w:hAnsi="Times New Roman" w:cs="Times New Roman"/>
            <w:i/>
            <w:iCs/>
            <w:sz w:val="24"/>
            <w:szCs w:val="24"/>
          </w:rPr>
          <w:t>Davis v. Alaska,</w:t>
        </w:r>
        <w:r w:rsidRPr="008B26C1">
          <w:rPr>
            <w:rFonts w:ascii="Times New Roman" w:hAnsi="Times New Roman" w:cs="Times New Roman"/>
            <w:sz w:val="24"/>
            <w:szCs w:val="24"/>
          </w:rPr>
          <w:t xml:space="preserve"> 415 U.S. 308, 316, 94 S.Ct. 1105, 39 L.Ed.2d 347 (1974)</w:t>
        </w:r>
      </w:hyperlink>
      <w:r w:rsidRPr="008B26C1">
        <w:rPr>
          <w:rFonts w:ascii="Times New Roman" w:hAnsi="Times New Roman" w:cs="Times New Roman"/>
          <w:sz w:val="24"/>
          <w:szCs w:val="24"/>
        </w:rPr>
        <w:t xml:space="preserve">. The witness’s probationary status could explain his motivation in testifying and in turn affect the witness’s credibility or the weight the jury would place on his testimony. </w:t>
      </w:r>
      <w:hyperlink r:id="rId6" w:history="1">
        <w:r w:rsidRPr="008B26C1">
          <w:rPr>
            <w:rFonts w:ascii="Times New Roman" w:hAnsi="Times New Roman" w:cs="Times New Roman"/>
            <w:i/>
            <w:iCs/>
            <w:sz w:val="24"/>
            <w:szCs w:val="24"/>
          </w:rPr>
          <w:t>Id.</w:t>
        </w:r>
        <w:r w:rsidRPr="008B26C1">
          <w:rPr>
            <w:rFonts w:ascii="Times New Roman" w:hAnsi="Times New Roman" w:cs="Times New Roman"/>
            <w:sz w:val="24"/>
            <w:szCs w:val="24"/>
          </w:rPr>
          <w:t xml:space="preserve"> at 316-18, 94 S.Ct. 1105;</w:t>
        </w:r>
      </w:hyperlink>
      <w:r w:rsidRPr="008B26C1">
        <w:rPr>
          <w:rFonts w:ascii="Times New Roman" w:hAnsi="Times New Roman" w:cs="Times New Roman"/>
          <w:sz w:val="24"/>
          <w:szCs w:val="24"/>
        </w:rPr>
        <w:t xml:space="preserve"> </w:t>
      </w:r>
      <w:r w:rsidRPr="008B26C1">
        <w:rPr>
          <w:rFonts w:ascii="Times New Roman" w:hAnsi="Times New Roman" w:cs="Times New Roman"/>
          <w:i/>
          <w:iCs/>
          <w:sz w:val="24"/>
          <w:szCs w:val="24"/>
        </w:rPr>
        <w:t xml:space="preserve">see also </w:t>
      </w:r>
      <w:hyperlink r:id="rId7" w:anchor="co_pp_sp_735_580" w:history="1">
        <w:r w:rsidRPr="008B26C1">
          <w:rPr>
            <w:rFonts w:ascii="Times New Roman" w:hAnsi="Times New Roman" w:cs="Times New Roman"/>
            <w:i/>
            <w:iCs/>
            <w:sz w:val="24"/>
            <w:szCs w:val="24"/>
          </w:rPr>
          <w:t>Purcell v. State,</w:t>
        </w:r>
        <w:r w:rsidRPr="008B26C1">
          <w:rPr>
            <w:rFonts w:ascii="Times New Roman" w:hAnsi="Times New Roman" w:cs="Times New Roman"/>
            <w:sz w:val="24"/>
            <w:szCs w:val="24"/>
          </w:rPr>
          <w:t xml:space="preserve"> 735 So.2d 579, 580 (Fla. 4th DCA 1999)</w:t>
        </w:r>
      </w:hyperlink>
      <w:r w:rsidRPr="008B26C1">
        <w:rPr>
          <w:rFonts w:ascii="Times New Roman" w:hAnsi="Times New Roman" w:cs="Times New Roman"/>
          <w:sz w:val="24"/>
          <w:szCs w:val="24"/>
        </w:rPr>
        <w:t xml:space="preserve">(recognizing “a defendant has a ‘strong interest in discrediting a crucial state’s witness by showing bias, an interest in the outcome, or a possible ulterior motive for his in-court testimony’ ”) (quoting </w:t>
      </w:r>
      <w:hyperlink r:id="rId8" w:history="1">
        <w:r w:rsidRPr="008B26C1">
          <w:rPr>
            <w:rFonts w:ascii="Times New Roman" w:hAnsi="Times New Roman" w:cs="Times New Roman"/>
            <w:i/>
            <w:iCs/>
            <w:sz w:val="24"/>
            <w:szCs w:val="24"/>
          </w:rPr>
          <w:t>Auchmuty v. State,</w:t>
        </w:r>
        <w:r w:rsidRPr="008B26C1">
          <w:rPr>
            <w:rFonts w:ascii="Times New Roman" w:hAnsi="Times New Roman" w:cs="Times New Roman"/>
            <w:sz w:val="24"/>
            <w:szCs w:val="24"/>
          </w:rPr>
          <w:t xml:space="preserve"> 594 So.2d 859 (Fla. 4th DCA 1992)</w:t>
        </w:r>
      </w:hyperlink>
      <w:r w:rsidRPr="008B26C1">
        <w:rPr>
          <w:rFonts w:ascii="Times New Roman" w:hAnsi="Times New Roman" w:cs="Times New Roman"/>
          <w:sz w:val="24"/>
          <w:szCs w:val="24"/>
        </w:rPr>
        <w:t xml:space="preserve">); </w:t>
      </w:r>
      <w:hyperlink r:id="rId9" w:anchor="co_pp_sp_735_1192" w:history="1">
        <w:r w:rsidRPr="008B26C1">
          <w:rPr>
            <w:rFonts w:ascii="Times New Roman" w:hAnsi="Times New Roman" w:cs="Times New Roman"/>
            <w:i/>
            <w:iCs/>
            <w:sz w:val="24"/>
            <w:szCs w:val="24"/>
          </w:rPr>
          <w:t>Perez v. State,</w:t>
        </w:r>
        <w:r w:rsidRPr="008B26C1">
          <w:rPr>
            <w:rFonts w:ascii="Times New Roman" w:hAnsi="Times New Roman" w:cs="Times New Roman"/>
            <w:sz w:val="24"/>
            <w:szCs w:val="24"/>
          </w:rPr>
          <w:t xml:space="preserve"> 691 So.2d 1190, 1192 (Fla. 4th DCA 1997)</w:t>
        </w:r>
      </w:hyperlink>
      <w:r w:rsidRPr="008B26C1">
        <w:rPr>
          <w:rFonts w:ascii="Times New Roman" w:hAnsi="Times New Roman" w:cs="Times New Roman"/>
          <w:sz w:val="24"/>
          <w:szCs w:val="24"/>
        </w:rPr>
        <w:t>(concluding “[a] jury should hear ‘[a]ny evidence which tends to establish that a witness is appearing for the State for any reason other than merely to tell the truth’</w:t>
      </w:r>
      <w:r w:rsidR="005B6BFD" w:rsidRPr="008B26C1">
        <w:rPr>
          <w:rFonts w:ascii="Times New Roman" w:hAnsi="Times New Roman" w:cs="Times New Roman"/>
          <w:sz w:val="24"/>
          <w:szCs w:val="24"/>
        </w:rPr>
        <w:t xml:space="preserve"> </w:t>
      </w:r>
      <w:r w:rsidRPr="008B26C1">
        <w:rPr>
          <w:rFonts w:ascii="Times New Roman" w:hAnsi="Times New Roman" w:cs="Times New Roman"/>
          <w:sz w:val="24"/>
          <w:szCs w:val="24"/>
        </w:rPr>
        <w:t xml:space="preserve">”)(quoting </w:t>
      </w:r>
      <w:hyperlink r:id="rId10" w:history="1">
        <w:r w:rsidRPr="008B26C1">
          <w:rPr>
            <w:rFonts w:ascii="Times New Roman" w:hAnsi="Times New Roman" w:cs="Times New Roman"/>
            <w:i/>
            <w:iCs/>
            <w:sz w:val="24"/>
            <w:szCs w:val="24"/>
          </w:rPr>
          <w:t>Holt v. State,</w:t>
        </w:r>
        <w:r w:rsidRPr="008B26C1">
          <w:rPr>
            <w:rFonts w:ascii="Times New Roman" w:hAnsi="Times New Roman" w:cs="Times New Roman"/>
            <w:sz w:val="24"/>
            <w:szCs w:val="24"/>
          </w:rPr>
          <w:t xml:space="preserve"> 378 So.2d 106 (Fla. 5th DCA 1980)</w:t>
        </w:r>
      </w:hyperlink>
      <w:r w:rsidRPr="008B26C1">
        <w:rPr>
          <w:rFonts w:ascii="Times New Roman" w:hAnsi="Times New Roman" w:cs="Times New Roman"/>
          <w:sz w:val="24"/>
          <w:szCs w:val="24"/>
        </w:rPr>
        <w:t>).</w:t>
      </w:r>
    </w:p>
    <w:p w:rsidR="005B6BFD" w:rsidRPr="004B3276" w:rsidRDefault="005B6BFD" w:rsidP="004B3276">
      <w:pPr>
        <w:widowControl w:val="0"/>
        <w:autoSpaceDE w:val="0"/>
        <w:autoSpaceDN w:val="0"/>
        <w:adjustRightInd w:val="0"/>
        <w:spacing w:after="0" w:line="240" w:lineRule="auto"/>
        <w:ind w:left="720" w:right="720"/>
        <w:jc w:val="both"/>
        <w:rPr>
          <w:rFonts w:ascii="Times New Roman" w:hAnsi="Times New Roman" w:cs="Times New Roman"/>
          <w:sz w:val="24"/>
          <w:szCs w:val="24"/>
        </w:rPr>
      </w:pPr>
    </w:p>
    <w:p w:rsidR="004B3276" w:rsidRPr="005B6BFD" w:rsidRDefault="005B6BFD" w:rsidP="005B6BFD">
      <w:pPr>
        <w:rPr>
          <w:rFonts w:ascii="Times New Roman" w:eastAsia="Times New Roman" w:hAnsi="Times New Roman" w:cs="Times New Roman"/>
        </w:rPr>
      </w:pPr>
      <w:r>
        <w:rPr>
          <w:rFonts w:ascii="Times New Roman" w:hAnsi="Times New Roman" w:cs="Times New Roman"/>
          <w:sz w:val="24"/>
          <w:szCs w:val="24"/>
        </w:rPr>
        <w:tab/>
      </w:r>
      <w:r w:rsidRPr="00BA5293">
        <w:rPr>
          <w:rFonts w:ascii="Times New Roman" w:eastAsia="Times New Roman" w:hAnsi="Times New Roman" w:cs="Times New Roman"/>
          <w:i/>
        </w:rPr>
        <w:t>Cipriano v. State</w:t>
      </w:r>
      <w:r w:rsidRPr="00BA5293">
        <w:rPr>
          <w:rFonts w:ascii="Times New Roman" w:eastAsia="Times New Roman" w:hAnsi="Times New Roman" w:cs="Times New Roman"/>
        </w:rPr>
        <w:t xml:space="preserve">, 883 So. 2d 363, 363–64 (Fla. </w:t>
      </w:r>
      <w:r>
        <w:rPr>
          <w:rFonts w:ascii="Times New Roman" w:eastAsia="Times New Roman" w:hAnsi="Times New Roman" w:cs="Times New Roman"/>
        </w:rPr>
        <w:t>4</w:t>
      </w:r>
      <w:r w:rsidRPr="005B6BFD">
        <w:rPr>
          <w:rFonts w:ascii="Times New Roman" w:eastAsia="Times New Roman" w:hAnsi="Times New Roman" w:cs="Times New Roman"/>
          <w:vertAlign w:val="superscript"/>
        </w:rPr>
        <w:t>th</w:t>
      </w:r>
      <w:r>
        <w:rPr>
          <w:rFonts w:ascii="Times New Roman" w:eastAsia="Times New Roman" w:hAnsi="Times New Roman" w:cs="Times New Roman"/>
        </w:rPr>
        <w:t xml:space="preserve"> DCA</w:t>
      </w:r>
      <w:r w:rsidRPr="00BA5293">
        <w:rPr>
          <w:rFonts w:ascii="Times New Roman" w:eastAsia="Times New Roman" w:hAnsi="Times New Roman" w:cs="Times New Roman"/>
        </w:rPr>
        <w:t xml:space="preserve"> 2004)</w:t>
      </w:r>
      <w:r>
        <w:rPr>
          <w:rFonts w:ascii="Times New Roman" w:eastAsia="Times New Roman" w:hAnsi="Times New Roman" w:cs="Times New Roman"/>
        </w:rPr>
        <w:t>.</w:t>
      </w:r>
    </w:p>
    <w:p w:rsidR="009F1E6D" w:rsidRPr="00A5250E" w:rsidRDefault="005B6BFD" w:rsidP="001C0772">
      <w:pPr>
        <w:spacing w:line="480" w:lineRule="auto"/>
        <w:jc w:val="both"/>
        <w:rPr>
          <w:rFonts w:ascii="Times New Roman" w:hAnsi="Times New Roman" w:cs="Times New Roman"/>
          <w:sz w:val="24"/>
          <w:szCs w:val="24"/>
        </w:rPr>
      </w:pPr>
      <w:r>
        <w:rPr>
          <w:rFonts w:ascii="Times New Roman" w:hAnsi="Times New Roman" w:cs="Times New Roman"/>
          <w:sz w:val="24"/>
          <w:szCs w:val="24"/>
        </w:rPr>
        <w:t>Ms. Peppers’ status</w:t>
      </w:r>
      <w:r w:rsidR="008B26C1">
        <w:rPr>
          <w:rFonts w:ascii="Times New Roman" w:hAnsi="Times New Roman" w:cs="Times New Roman"/>
          <w:sz w:val="24"/>
          <w:szCs w:val="24"/>
        </w:rPr>
        <w:t>es</w:t>
      </w:r>
      <w:r>
        <w:rPr>
          <w:rFonts w:ascii="Times New Roman" w:hAnsi="Times New Roman" w:cs="Times New Roman"/>
          <w:sz w:val="24"/>
          <w:szCs w:val="24"/>
        </w:rPr>
        <w:t xml:space="preserve"> as a probationer</w:t>
      </w:r>
      <w:r w:rsidR="008B26C1">
        <w:rPr>
          <w:rFonts w:ascii="Times New Roman" w:hAnsi="Times New Roman" w:cs="Times New Roman"/>
          <w:sz w:val="24"/>
          <w:szCs w:val="24"/>
        </w:rPr>
        <w:t xml:space="preserve"> and absconder are</w:t>
      </w:r>
      <w:r>
        <w:rPr>
          <w:rFonts w:ascii="Times New Roman" w:hAnsi="Times New Roman" w:cs="Times New Roman"/>
          <w:sz w:val="24"/>
          <w:szCs w:val="24"/>
        </w:rPr>
        <w:t xml:space="preserve"> relevant because the potential exists for her to have fabricated a story of sexual battery to avoid her suspended 364 day sentence out of Tennessee for her underage drinking, drug use, and other illegal activities</w:t>
      </w:r>
      <w:r w:rsidR="008B26C1">
        <w:rPr>
          <w:rFonts w:ascii="Times New Roman" w:hAnsi="Times New Roman" w:cs="Times New Roman"/>
          <w:sz w:val="24"/>
          <w:szCs w:val="24"/>
        </w:rPr>
        <w:t xml:space="preserve"> in which she engaged on the night in question</w:t>
      </w:r>
      <w:r>
        <w:rPr>
          <w:rFonts w:ascii="Times New Roman" w:hAnsi="Times New Roman" w:cs="Times New Roman"/>
          <w:sz w:val="24"/>
          <w:szCs w:val="24"/>
        </w:rPr>
        <w:t xml:space="preserve">.  </w:t>
      </w:r>
      <w:r w:rsidR="003D263B">
        <w:rPr>
          <w:rFonts w:ascii="Times New Roman" w:hAnsi="Times New Roman" w:cs="Times New Roman"/>
          <w:sz w:val="24"/>
          <w:szCs w:val="24"/>
        </w:rPr>
        <w:t>Note that while it is not necessary to prove that Ms. Peppers knew about her probationary status</w:t>
      </w:r>
      <w:r w:rsidR="008B26C1">
        <w:rPr>
          <w:rFonts w:ascii="Times New Roman" w:hAnsi="Times New Roman" w:cs="Times New Roman"/>
          <w:sz w:val="24"/>
          <w:szCs w:val="24"/>
        </w:rPr>
        <w:t xml:space="preserve"> (</w:t>
      </w:r>
      <w:r w:rsidR="008B26C1" w:rsidRPr="008B26C1">
        <w:rPr>
          <w:rFonts w:ascii="Times New Roman" w:hAnsi="Times New Roman" w:cs="Times New Roman"/>
          <w:i/>
          <w:sz w:val="24"/>
          <w:szCs w:val="24"/>
        </w:rPr>
        <w:t>Phillips v. State</w:t>
      </w:r>
      <w:r w:rsidR="008B26C1">
        <w:rPr>
          <w:rFonts w:ascii="Times New Roman" w:hAnsi="Times New Roman" w:cs="Times New Roman"/>
          <w:sz w:val="24"/>
          <w:szCs w:val="24"/>
        </w:rPr>
        <w:t>, 739 So.2d 632 (Fla. 2</w:t>
      </w:r>
      <w:r w:rsidR="008B26C1" w:rsidRPr="008B26C1">
        <w:rPr>
          <w:rFonts w:ascii="Times New Roman" w:hAnsi="Times New Roman" w:cs="Times New Roman"/>
          <w:sz w:val="24"/>
          <w:szCs w:val="24"/>
          <w:vertAlign w:val="superscript"/>
        </w:rPr>
        <w:t>nd</w:t>
      </w:r>
      <w:r w:rsidR="008B26C1">
        <w:rPr>
          <w:rFonts w:ascii="Times New Roman" w:hAnsi="Times New Roman" w:cs="Times New Roman"/>
          <w:sz w:val="24"/>
          <w:szCs w:val="24"/>
        </w:rPr>
        <w:t xml:space="preserve"> DCA 1999))</w:t>
      </w:r>
      <w:r w:rsidR="00AC6BFD">
        <w:rPr>
          <w:rFonts w:ascii="Times New Roman" w:hAnsi="Times New Roman" w:cs="Times New Roman"/>
          <w:sz w:val="24"/>
          <w:szCs w:val="24"/>
        </w:rPr>
        <w:t xml:space="preserve">, </w:t>
      </w:r>
      <w:r w:rsidR="001C0772">
        <w:rPr>
          <w:rFonts w:ascii="Times New Roman" w:hAnsi="Times New Roman" w:cs="Times New Roman"/>
          <w:sz w:val="24"/>
          <w:szCs w:val="24"/>
        </w:rPr>
        <w:t xml:space="preserve">as noted, </w:t>
      </w:r>
      <w:r w:rsidR="001C0772" w:rsidRPr="001C0772">
        <w:rPr>
          <w:rFonts w:ascii="Times New Roman" w:hAnsi="Times New Roman" w:cs="Times New Roman"/>
          <w:i/>
          <w:sz w:val="24"/>
          <w:szCs w:val="24"/>
        </w:rPr>
        <w:t>supra</w:t>
      </w:r>
      <w:r w:rsidR="001C0772">
        <w:rPr>
          <w:rFonts w:ascii="Times New Roman" w:hAnsi="Times New Roman" w:cs="Times New Roman"/>
          <w:sz w:val="24"/>
          <w:szCs w:val="24"/>
        </w:rPr>
        <w:t>, Ms. Peppers refers many times to the outstanding conditions of her probation.</w:t>
      </w:r>
      <w:r w:rsidR="00AC6BFD">
        <w:rPr>
          <w:rFonts w:ascii="Times New Roman" w:hAnsi="Times New Roman" w:cs="Times New Roman"/>
          <w:sz w:val="24"/>
          <w:szCs w:val="24"/>
        </w:rPr>
        <w:t xml:space="preserve"> </w:t>
      </w:r>
    </w:p>
    <w:p w:rsidR="00A5250E" w:rsidRDefault="00A5250E" w:rsidP="004B3276">
      <w:pPr>
        <w:jc w:val="both"/>
      </w:pPr>
    </w:p>
    <w:p w:rsidR="00A5250E" w:rsidRDefault="00A5250E" w:rsidP="004B3276">
      <w:pPr>
        <w:jc w:val="both"/>
      </w:pPr>
    </w:p>
    <w:p w:rsidR="00A5250E" w:rsidRDefault="00A5250E" w:rsidP="004B3276">
      <w:pPr>
        <w:pStyle w:val="ListParagraph"/>
        <w:jc w:val="both"/>
      </w:pPr>
    </w:p>
    <w:p w:rsidR="00FA68C2" w:rsidRDefault="00FA68C2" w:rsidP="004B3276">
      <w:pPr>
        <w:jc w:val="both"/>
      </w:pPr>
    </w:p>
    <w:p w:rsidR="00A5250E" w:rsidRDefault="00A5250E" w:rsidP="004B3276">
      <w:pPr>
        <w:jc w:val="both"/>
      </w:pPr>
    </w:p>
    <w:p w:rsidR="00A5250E" w:rsidRDefault="00A5250E" w:rsidP="004B3276">
      <w:pPr>
        <w:jc w:val="both"/>
      </w:pPr>
    </w:p>
    <w:sectPr w:rsidR="00A5250E" w:rsidSect="00CE6D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85470B"/>
    <w:multiLevelType w:val="hybridMultilevel"/>
    <w:tmpl w:val="798EB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7E551C"/>
    <w:multiLevelType w:val="hybridMultilevel"/>
    <w:tmpl w:val="B1CEC4B2"/>
    <w:lvl w:ilvl="0" w:tplc="C73CC47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9F1E6D"/>
    <w:rsid w:val="0016625F"/>
    <w:rsid w:val="001B0D22"/>
    <w:rsid w:val="001C0772"/>
    <w:rsid w:val="003B1681"/>
    <w:rsid w:val="003D263B"/>
    <w:rsid w:val="004004BF"/>
    <w:rsid w:val="004B3276"/>
    <w:rsid w:val="004B72CD"/>
    <w:rsid w:val="005B6BFD"/>
    <w:rsid w:val="005D292C"/>
    <w:rsid w:val="006970ED"/>
    <w:rsid w:val="00751342"/>
    <w:rsid w:val="0076317C"/>
    <w:rsid w:val="008B26C1"/>
    <w:rsid w:val="008D53D4"/>
    <w:rsid w:val="00996743"/>
    <w:rsid w:val="009F1E6D"/>
    <w:rsid w:val="00A1481B"/>
    <w:rsid w:val="00A5250E"/>
    <w:rsid w:val="00A574B9"/>
    <w:rsid w:val="00A62174"/>
    <w:rsid w:val="00AC6BFD"/>
    <w:rsid w:val="00B47BD1"/>
    <w:rsid w:val="00BA64A3"/>
    <w:rsid w:val="00CE6D1C"/>
    <w:rsid w:val="00D11438"/>
    <w:rsid w:val="00FA68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D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1E6D"/>
    <w:pPr>
      <w:ind w:left="720"/>
      <w:contextualSpacing/>
    </w:pPr>
  </w:style>
  <w:style w:type="character" w:styleId="Emphasis">
    <w:name w:val="Emphasis"/>
    <w:basedOn w:val="DefaultParagraphFont"/>
    <w:uiPriority w:val="20"/>
    <w:qFormat/>
    <w:rsid w:val="00996743"/>
    <w:rPr>
      <w:i/>
      <w:iCs/>
    </w:rPr>
  </w:style>
  <w:style w:type="character" w:customStyle="1" w:styleId="costarpage">
    <w:name w:val="co_starpage"/>
    <w:basedOn w:val="DefaultParagraphFont"/>
    <w:rsid w:val="00996743"/>
  </w:style>
</w:styles>
</file>

<file path=word/webSettings.xml><?xml version="1.0" encoding="utf-8"?>
<w:webSettings xmlns:r="http://schemas.openxmlformats.org/officeDocument/2006/relationships" xmlns:w="http://schemas.openxmlformats.org/wordprocessingml/2006/main">
  <w:divs>
    <w:div w:id="988442972">
      <w:bodyDiv w:val="1"/>
      <w:marLeft w:val="0"/>
      <w:marRight w:val="0"/>
      <w:marTop w:val="0"/>
      <w:marBottom w:val="0"/>
      <w:divBdr>
        <w:top w:val="none" w:sz="0" w:space="0" w:color="auto"/>
        <w:left w:val="none" w:sz="0" w:space="0" w:color="auto"/>
        <w:bottom w:val="none" w:sz="0" w:space="0" w:color="auto"/>
        <w:right w:val="none" w:sz="0" w:space="0" w:color="auto"/>
      </w:divBdr>
      <w:divsChild>
        <w:div w:id="1510019064">
          <w:marLeft w:val="0"/>
          <w:marRight w:val="0"/>
          <w:marTop w:val="0"/>
          <w:marBottom w:val="0"/>
          <w:divBdr>
            <w:top w:val="none" w:sz="0" w:space="0" w:color="auto"/>
            <w:left w:val="none" w:sz="0" w:space="0" w:color="auto"/>
            <w:bottom w:val="none" w:sz="0" w:space="0" w:color="auto"/>
            <w:right w:val="none" w:sz="0" w:space="0" w:color="auto"/>
          </w:divBdr>
          <w:divsChild>
            <w:div w:id="210456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estlaw.com/Link/Document/FullText?findType=Y&amp;serNum=1992050879&amp;pubNum=735&amp;originatingDoc=I26682f7211c211d998cacb08b39c0d39&amp;refType=RP&amp;originationContext=document&amp;vr=3.0&amp;rs=cblt1.0&amp;transitionType=DocumentItem&amp;contextData=(sc.Search)" TargetMode="External"/><Relationship Id="rId3" Type="http://schemas.openxmlformats.org/officeDocument/2006/relationships/settings" Target="settings.xml"/><Relationship Id="rId7" Type="http://schemas.openxmlformats.org/officeDocument/2006/relationships/hyperlink" Target="http://www.westlaw.com/Link/Document/FullText?findType=Y&amp;serNum=1999148648&amp;pubNum=735&amp;originatingDoc=I26682f7211c211d998cacb08b39c0d39&amp;refType=RP&amp;fi=co_pp_sp_735_580&amp;originationContext=document&amp;vr=3.0&amp;rs=cblt1.0&amp;transitionType=DocumentItem&amp;contextData=(sc.Sear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estlaw.com/Link/Document/FullText?findType=Y&amp;serNum=1974127137&amp;pubNum=708&amp;originatingDoc=I26682f7211c211d998cacb08b39c0d39&amp;refType=RP&amp;originationContext=document&amp;vr=3.0&amp;rs=cblt1.0&amp;transitionType=DocumentItem&amp;contextData=(sc.Search)" TargetMode="External"/><Relationship Id="rId11" Type="http://schemas.openxmlformats.org/officeDocument/2006/relationships/fontTable" Target="fontTable.xml"/><Relationship Id="rId5" Type="http://schemas.openxmlformats.org/officeDocument/2006/relationships/hyperlink" Target="http://www.westlaw.com/Link/Document/FullText?findType=Y&amp;serNum=1974127137&amp;pubNum=708&amp;originatingDoc=I26682f7211c211d998cacb08b39c0d39&amp;refType=RP&amp;originationContext=document&amp;vr=3.0&amp;rs=cblt1.0&amp;transitionType=DocumentItem&amp;contextData=(sc.Search)" TargetMode="External"/><Relationship Id="rId10" Type="http://schemas.openxmlformats.org/officeDocument/2006/relationships/hyperlink" Target="http://www.westlaw.com/Link/Document/FullText?findType=Y&amp;serNum=1980101188&amp;pubNum=735&amp;originatingDoc=I26682f7211c211d998cacb08b39c0d39&amp;refType=RP&amp;originationContext=document&amp;vr=3.0&amp;rs=cblt1.0&amp;transitionType=DocumentItem&amp;contextData=(sc.Search)" TargetMode="External"/><Relationship Id="rId4" Type="http://schemas.openxmlformats.org/officeDocument/2006/relationships/webSettings" Target="webSettings.xml"/><Relationship Id="rId9" Type="http://schemas.openxmlformats.org/officeDocument/2006/relationships/hyperlink" Target="http://www.westlaw.com/Link/Document/FullText?findType=Y&amp;serNum=1997095425&amp;pubNum=735&amp;originatingDoc=I26682f7211c211d998cacb08b39c0d39&amp;refType=RP&amp;fi=co_pp_sp_735_1192&amp;originationContext=document&amp;vr=3.0&amp;rs=cblt1.0&amp;transitionType=DocumentItem&amp;contextData=(sc.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1283</Words>
  <Characters>7315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 Taelman</dc:creator>
  <cp:lastModifiedBy>U0149267</cp:lastModifiedBy>
  <cp:revision>2</cp:revision>
  <cp:lastPrinted>2017-05-02T11:46:00Z</cp:lastPrinted>
  <dcterms:created xsi:type="dcterms:W3CDTF">2017-06-22T22:27:00Z</dcterms:created>
  <dcterms:modified xsi:type="dcterms:W3CDTF">2017-06-22T22:27:00Z</dcterms:modified>
</cp:coreProperties>
</file>